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Verdana-Bold" w:ascii="Century Gothic" w:hAnsi="Century Gothic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cs="Century Gothic" w:ascii="Century Gothic" w:hAnsi="Century Gothic"/>
          <w:b/>
          <w:bCs/>
          <w:sz w:val="20"/>
          <w:szCs w:val="20"/>
        </w:rPr>
        <w:t>sudjelovanja u Nagradnom natječaju "</w:t>
      </w:r>
      <w:r>
        <w:rPr>
          <w:rFonts w:cs="Verdana-Bold" w:ascii="Century Gothic" w:hAnsi="Century Gothic"/>
          <w:b/>
          <w:bCs/>
          <w:sz w:val="20"/>
          <w:szCs w:val="20"/>
        </w:rPr>
        <w:t>Što želiš slušati</w:t>
      </w:r>
      <w:r>
        <w:rPr>
          <w:rFonts w:cs="Century Gothic" w:ascii="Century Gothic" w:hAnsi="Century Gothic"/>
          <w:b/>
          <w:bCs/>
          <w:sz w:val="20"/>
          <w:szCs w:val="20"/>
        </w:rPr>
        <w:t>"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>Priređivač Nagradnog natječaja je GOLD FM d.o.o., Kolodvorska 29, Velika Gorica, OIB: 81362164358 (dalje u tekstu: Priređivač).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2.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Ovim Pravilima (dalje u tekstu: Pravila), Priređivač definira pravila sudjelovanja i osvajanja nagrada u Nagradnom Natječaju "</w:t>
      </w:r>
      <w:r>
        <w:rPr/>
        <w:t xml:space="preserve"> </w:t>
      </w:r>
      <w:r>
        <w:rPr>
          <w:rFonts w:cs="Century Gothic" w:ascii="Century Gothic" w:hAnsi="Century Gothic"/>
          <w:sz w:val="20"/>
          <w:szCs w:val="20"/>
        </w:rPr>
        <w:t>Što želiš slušati " (dalje u tekstu: Natječaj).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3.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Svrha Natječaja je ostvarivanje promidžbe Priređivača i motiviranje ispitanika za sudjelovanje u istraživanju slušanosti.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4.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sz w:val="20"/>
          <w:szCs w:val="20"/>
        </w:rPr>
        <w:t>Natječaj se realizira od 1</w:t>
      </w:r>
      <w:r>
        <w:rPr>
          <w:rFonts w:cs="Century Gothic" w:ascii="Century Gothic" w:hAnsi="Century Gothic"/>
          <w:sz w:val="20"/>
          <w:szCs w:val="20"/>
        </w:rPr>
        <w:t>4</w:t>
      </w:r>
      <w:r>
        <w:rPr>
          <w:rFonts w:cs="Century Gothic" w:ascii="Century Gothic" w:hAnsi="Century Gothic"/>
          <w:sz w:val="20"/>
          <w:szCs w:val="20"/>
        </w:rPr>
        <w:t>.</w:t>
      </w:r>
      <w:r>
        <w:rPr>
          <w:rFonts w:cs="Century Gothic" w:ascii="Century Gothic" w:hAnsi="Century Gothic"/>
          <w:sz w:val="20"/>
          <w:szCs w:val="20"/>
        </w:rPr>
        <w:t>01</w:t>
      </w:r>
      <w:r>
        <w:rPr>
          <w:rFonts w:cs="Century Gothic" w:ascii="Century Gothic" w:hAnsi="Century Gothic"/>
          <w:sz w:val="20"/>
          <w:szCs w:val="20"/>
        </w:rPr>
        <w:t>. - 2</w:t>
      </w:r>
      <w:r>
        <w:rPr>
          <w:rFonts w:cs="Century Gothic" w:ascii="Century Gothic" w:hAnsi="Century Gothic"/>
          <w:sz w:val="20"/>
          <w:szCs w:val="20"/>
        </w:rPr>
        <w:t>1</w:t>
      </w:r>
      <w:r>
        <w:rPr>
          <w:rFonts w:cs="Century Gothic" w:ascii="Century Gothic" w:hAnsi="Century Gothic"/>
          <w:sz w:val="20"/>
          <w:szCs w:val="20"/>
        </w:rPr>
        <w:t>.</w:t>
      </w:r>
      <w:r>
        <w:rPr>
          <w:rFonts w:cs="Century Gothic" w:ascii="Century Gothic" w:hAnsi="Century Gothic"/>
          <w:sz w:val="20"/>
          <w:szCs w:val="20"/>
        </w:rPr>
        <w:t>01</w:t>
      </w:r>
      <w:r>
        <w:rPr>
          <w:rFonts w:cs="Century Gothic" w:ascii="Century Gothic" w:hAnsi="Century Gothic"/>
          <w:sz w:val="20"/>
          <w:szCs w:val="20"/>
        </w:rPr>
        <w:t>. 20</w:t>
      </w:r>
      <w:r>
        <w:rPr>
          <w:rFonts w:cs="Century Gothic" w:ascii="Century Gothic" w:hAnsi="Century Gothic"/>
          <w:sz w:val="20"/>
          <w:szCs w:val="20"/>
        </w:rPr>
        <w:t>20</w:t>
      </w:r>
      <w:r>
        <w:rPr>
          <w:rFonts w:cs="Century Gothic" w:ascii="Century Gothic" w:hAnsi="Century Gothic"/>
          <w:sz w:val="20"/>
          <w:szCs w:val="20"/>
        </w:rPr>
        <w:t>. godine.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5.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 xml:space="preserve">Članak 6. 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Pravo sudjelovanja u Natječaju imaju svi punoljetni državljani Republike Hrvatske, a nemaju djelatnici društva GOLD FM d.o.o., radija Gold Fm i vezanih kompanija, stalni suradnici i članovi njihovih užih obitelji. Jedna osoba može osvojiti samo jednu nagradu.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sz w:val="20"/>
          <w:szCs w:val="20"/>
        </w:rPr>
      </w:pPr>
      <w:r>
        <w:rPr>
          <w:rFonts w:cs="Century Gothic" w:ascii="Century Gothic" w:hAnsi="Century Gothic"/>
          <w:b/>
          <w:sz w:val="20"/>
          <w:szCs w:val="20"/>
        </w:rPr>
        <w:t>Članak 7.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 xml:space="preserve">Natječaj se provodi na način da slušatelji putem Facebook stranice Gold FM-a ili web stranice goldfm.hr pristupe online glazbenom istraživanju te se na taj način prijavljuju za natječaj. Sve što moraju napraviti je ispuniti kratku glazbenu anketu i ostaviti podatke na kraju. 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Nakon završetka ankete, kad dosegnemo broj potrebnih ispitanika, puštamo znak u eteru, a najbrži slušatelj koji pošalje sms sadržaja ‘TEST’ na 60 949 (cijena 2.40 kuna s PDV-om) osvaja nagradu.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  <w:highlight w:val="yellow"/>
        </w:rPr>
      </w:pPr>
      <w:r>
        <w:rPr>
          <w:rFonts w:cs="Century Gothic" w:ascii="Century Gothic" w:hAnsi="Century Gothic"/>
          <w:sz w:val="20"/>
          <w:szCs w:val="20"/>
          <w:highlight w:val="yellow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8.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slučaju opravdane sumnje u nepoštivanje ovih Pravila i općenito regularnosti Natječaja, Priređivač zadržava puno pravo bez daljnjih objašnjenja iz Natječaja isključiti slušatelja za kojeg se to smatra. Također, naknadnim utvrđivanjem bilo kakvog oblika nepravilnosti i/ili neregularnosti prijave i sudjelovanja u Natječaju od strane Dobitnika,  Priređivač ima puno pravo Dobitniku oduzeti nagradu i dodijeliti je nekom drugom slušatelju.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9.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 xml:space="preserve">Nagradni fond sastoji se od poklon bona </w:t>
      </w:r>
      <w:r>
        <w:rPr>
          <w:rFonts w:cs="Century Gothic" w:ascii="Century Gothic" w:hAnsi="Century Gothic"/>
          <w:sz w:val="20"/>
          <w:szCs w:val="20"/>
        </w:rPr>
        <w:t>Sport Visiona</w:t>
      </w:r>
      <w:r>
        <w:rPr>
          <w:rFonts w:cs="Century Gothic" w:ascii="Century Gothic" w:hAnsi="Century Gothic"/>
          <w:sz w:val="20"/>
          <w:szCs w:val="20"/>
        </w:rPr>
        <w:t xml:space="preserve"> u vrijednosti 1.000,00 HRK.  Dijeli se samo jedan bon. Uručenje nagrade dobitniku organizirat će Priređivač, na način da se maksimalno zadovolje osnovni ciljevi Nagradnog natječaja.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 10.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Nagradu dobitnik podiže uz predočenje zakonski valjanog identifikacijskog dokumenta. Preuzimanje finalne nagrade bit će organizirano po isteku Natječaja, ne prije. Trenutkom preuzimanja nagrade, odnosno potpisom o preuzimanju nagrade, prestaju sve daljnje obveze Priređivača i sponzora Natječaja prema dobitniku. Priređivač je dužan osigurati preuzimanje nagrade u roku od 30 (slovima: trideset) dana po završetku Natječaja. Priređivač nije odgovoran ukoliko dobitnik ne udovoljava kriterijima za korištenje nagrade (nije bio u mogućnosti ili je odbio javiti se na telefon ili sl.) te takva obrazloženja ne kvalificiraju za promjenu nagrade.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11.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slučaju nastupa okolnosti za koje Priređivač nije odgovoran, odnosno koje nije mogao predvidjeti, otkloniti ili izbjeći (viša sila), Priređivač može privremeno ili trajno prekinuti Natječaj, te o  tome na odgovarajući način obavijestiti javnost.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12.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Svojim sudjelovanjem u Natječaju sudionici potvrđuju da su upoznati s Pravilnikom o nagradnom natječaju i da pristaju na pravila iz Pravilnika te  daju svoju privolu da se  njihovi prikupljeni  osnovni osobni podaci mogu obrađivati od strana Voditelja obrade ( Gold FM d.o.o., Velika Gorica, Kolodvorska 29, 01 66 90 601 ) sukladno ovom Pravilniku i sa sljedećom svrhom: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 xml:space="preserve">Identifikacija  sudionika Natječaja  pri dodjeli nagrade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 identifikacijski podaci (ime, prezime, dob, mjesto stanovanja, e-mail adresa i broj mobitela).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Natječaja odnosno do prestanka Natječaja po bilo kojoj osnovi, kao i naknadno tri mjeseca  nakon realizacije Natječaja ukoliko je tako propisano Pravilnikom i nakon toga će biti obrisani.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  osobnih podataka smatramo vrlo ozbiljnom i tome pristupamo s velikom profesionalnom odgovornošću u skladu s Općom Uredbom o zaštiti osobnih podatka (EU2016/679 ) te pripadajućim zakonskim i podzakonskim aktima.  Izjava o privatnosti Voditelja obrade dostupna je na  </w:t>
      </w:r>
      <w:hyperlink r:id="rId2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  u ovom Natječaju.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3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>imaju  prava na ulaganje prigovora na obradu takvih podataka  te prava na prenosivost podataka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/>
      </w:pPr>
      <w:r>
        <w:rPr>
          <w:rFonts w:eastAsia="Times New Roman" w:ascii="Century Gothic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 :  </w:t>
      </w:r>
      <w:hyperlink r:id="rId4">
        <w:r>
          <w:rPr>
            <w:rStyle w:val="Internetskapoveznica"/>
            <w:rFonts w:eastAsia="Times New Roman" w:ascii="Century Gothic" w:hAnsi="Century Gothic"/>
            <w:sz w:val="20"/>
            <w:szCs w:val="20"/>
          </w:rPr>
          <w:t>sluzbenik@mediatower.hr</w:t>
        </w:r>
      </w:hyperlink>
      <w:r>
        <w:rPr>
          <w:rFonts w:eastAsia="Times New Roman" w:ascii="Century Gothic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>
      <w:pPr>
        <w:pStyle w:val="ListParagraph"/>
        <w:numPr>
          <w:ilvl w:val="0"/>
          <w:numId w:val="2"/>
        </w:numPr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>imaju pravo  na podnošenje prigovora nadzornom tijelu ( AZOP ).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13.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Sudjelovanjem u Natječaju svaki sudionik prihvaća gore navedena prava i obveze iz ovog 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bookmarkStart w:id="0" w:name="_GoBack"/>
      <w:bookmarkEnd w:id="0"/>
      <w:r>
        <w:rPr>
          <w:rFonts w:cs="Century Gothic" w:ascii="Century Gothic" w:hAnsi="Century Gothic"/>
          <w:bCs/>
          <w:sz w:val="20"/>
          <w:szCs w:val="20"/>
        </w:rPr>
        <w:t xml:space="preserve">Pravilnika. U slučaju mogućeg spora utvrđuje se nadležnost Općinskog suda u Zagrebu. 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 14.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bCs/>
          <w:sz w:val="20"/>
          <w:szCs w:val="20"/>
        </w:rPr>
        <w:t xml:space="preserve">Ovaj Pravilnik stupa na snagu danom objave na web stranici </w:t>
      </w:r>
      <w:hyperlink r:id="rId5">
        <w:r>
          <w:rPr>
            <w:rStyle w:val="Internetskapoveznica"/>
            <w:rFonts w:cs="Century Gothic" w:ascii="Century Gothic" w:hAnsi="Century Gothic"/>
            <w:bCs/>
            <w:sz w:val="20"/>
            <w:szCs w:val="20"/>
          </w:rPr>
          <w:t>www.goldfm.hr</w:t>
        </w:r>
      </w:hyperlink>
      <w:r>
        <w:rPr>
          <w:rFonts w:cs="Century Gothic" w:ascii="Century Gothic" w:hAnsi="Century Gothic"/>
          <w:bCs/>
          <w:sz w:val="20"/>
          <w:szCs w:val="20"/>
        </w:rPr>
        <w:t xml:space="preserve"> a njegova valjanost traje do ispunjenja svih odredbi predviđenih pojedinim člancima Pravilnika.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rPr/>
      </w:pPr>
      <w:r>
        <w:rPr>
          <w:rFonts w:cs="Century Gothic" w:ascii="Century Gothic" w:hAnsi="Century Gothic"/>
          <w:sz w:val="20"/>
          <w:szCs w:val="20"/>
        </w:rPr>
        <w:t>U Zagrebu, 1</w:t>
      </w:r>
      <w:r>
        <w:rPr>
          <w:rFonts w:cs="Century Gothic" w:ascii="Century Gothic" w:hAnsi="Century Gothic"/>
          <w:sz w:val="20"/>
          <w:szCs w:val="20"/>
        </w:rPr>
        <w:t>4</w:t>
      </w:r>
      <w:r>
        <w:rPr>
          <w:rFonts w:cs="Century Gothic" w:ascii="Century Gothic" w:hAnsi="Century Gothic"/>
          <w:sz w:val="20"/>
          <w:szCs w:val="20"/>
        </w:rPr>
        <w:t>.</w:t>
      </w:r>
      <w:r>
        <w:rPr>
          <w:rFonts w:cs="Century Gothic" w:ascii="Century Gothic" w:hAnsi="Century Gothic"/>
          <w:sz w:val="20"/>
          <w:szCs w:val="20"/>
        </w:rPr>
        <w:t>01</w:t>
      </w:r>
      <w:r>
        <w:rPr>
          <w:rFonts w:cs="Century Gothic" w:ascii="Century Gothic" w:hAnsi="Century Gothic"/>
          <w:sz w:val="20"/>
          <w:szCs w:val="20"/>
        </w:rPr>
        <w:t>.20</w:t>
      </w:r>
      <w:r>
        <w:rPr>
          <w:rFonts w:cs="Century Gothic" w:ascii="Century Gothic" w:hAnsi="Century Gothic"/>
          <w:sz w:val="20"/>
          <w:szCs w:val="20"/>
        </w:rPr>
        <w:t>20</w:t>
      </w:r>
      <w:r>
        <w:rPr>
          <w:rFonts w:cs="Century Gothic" w:ascii="Century Gothic" w:hAnsi="Century Gothic"/>
          <w:sz w:val="20"/>
          <w:szCs w:val="20"/>
        </w:rPr>
        <w:t>.</w:t>
        <w:tab/>
        <w:tab/>
        <w:tab/>
        <w:tab/>
        <w:tab/>
        <w:tab/>
        <w:tab/>
      </w:r>
    </w:p>
    <w:p>
      <w:pPr>
        <w:pStyle w:val="Normal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 xml:space="preserve">GOLD FM d.o.o. </w:t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bookmarkStart w:id="1" w:name="_Hlk5108938"/>
      <w:bookmarkEnd w:id="1"/>
      <w:r>
        <w:rPr>
          <w:rFonts w:cs="Verdana" w:ascii="Century Gothic" w:hAnsi="Century Gothic"/>
          <w:sz w:val="20"/>
          <w:szCs w:val="20"/>
        </w:rPr>
        <w:t>Nino Pavišić, direktor</w:t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2240" w:h="15840"/>
      <w:pgMar w:left="1134" w:right="1134" w:header="403" w:top="720" w:footer="403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  <w:font w:name="Raleway Light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spacing w:before="240" w:after="0"/>
      <w:rPr>
        <w:rFonts w:ascii="Raleway Light" w:hAnsi="Raleway Light"/>
      </w:rPr>
    </w:pPr>
    <w:r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TableGrid"/>
      <w:tblW w:w="9977" w:type="dxa"/>
      <w:jc w:val="left"/>
      <w:tblInd w:w="-5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258"/>
      <w:gridCol w:w="4290"/>
      <w:gridCol w:w="1199"/>
      <w:gridCol w:w="2229"/>
    </w:tblGrid>
    <w:tr>
      <w:trPr/>
      <w:tc>
        <w:tcPr>
          <w:tcW w:w="225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T</w:t>
          </w:r>
          <w:r>
            <w:rPr>
              <w:rFonts w:ascii="Raleway Light" w:hAnsi="Raleway Light"/>
              <w:color w:val="FF0099"/>
              <w:sz w:val="20"/>
              <w:szCs w:val="20"/>
              <w:shd w:fill="FFFFFF" w:val="clear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01 62 23 700</w:t>
            <w:tab/>
          </w:r>
          <w:r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19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  <w:tc>
        <w:tcPr>
          <w:tcW w:w="222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>
      <w:trPr/>
      <w:tc>
        <w:tcPr>
          <w:tcW w:w="225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F</w:t>
          </w:r>
          <w:r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01 62 21 121</w:t>
          </w:r>
        </w:p>
      </w:tc>
      <w:tc>
        <w:tcPr>
          <w:tcW w:w="119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  <w:tc>
        <w:tcPr>
          <w:tcW w:w="222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</w:tr>
  </w:tbl>
  <w:p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right"/>
      <w:rPr/>
    </w:pPr>
    <w:r>
      <w:rPr/>
      <w:t xml:space="preserve">  </w:t>
    </w:r>
    <w:r>
      <w:rPr/>
      <w:tab/>
    </w:r>
    <w:r>
      <w:rPr/>
      <w:drawing>
        <wp:inline distT="0" distB="0" distL="0" distR="0">
          <wp:extent cx="1532890" cy="1016000"/>
          <wp:effectExtent l="0" t="0" r="0" b="0"/>
          <wp:docPr id="1" name="Slik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hr-H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f183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f6e4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f6e46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character" w:styleId="Internetskapoveznica">
    <w:name w:val="Internetska poveznica"/>
    <w:basedOn w:val="DefaultParagraphFont"/>
    <w:uiPriority w:val="99"/>
    <w:unhideWhenUsed/>
    <w:rsid w:val="00df183c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aglavlje">
    <w:name w:val="Header"/>
    <w:basedOn w:val="Normal"/>
    <w:link w:val="HeaderChar"/>
    <w:uiPriority w:val="99"/>
    <w:unhideWhenUsed/>
    <w:rsid w:val="003f6e46"/>
    <w:pPr>
      <w:tabs>
        <w:tab w:val="center" w:pos="4513" w:leader="none"/>
        <w:tab w:val="right" w:pos="9026" w:leader="none"/>
      </w:tabs>
    </w:pPr>
    <w:rPr/>
  </w:style>
  <w:style w:type="paragraph" w:styleId="Podnoje">
    <w:name w:val="Footer"/>
    <w:basedOn w:val="Normal"/>
    <w:link w:val="FooterChar"/>
    <w:uiPriority w:val="99"/>
    <w:unhideWhenUsed/>
    <w:rsid w:val="003f6e46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6e4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83c"/>
    <w:pPr>
      <w:spacing w:lineRule="auto" w:line="254" w:before="0" w:after="160"/>
      <w:ind w:left="720" w:hanging="0"/>
      <w:contextualSpacing/>
    </w:pPr>
    <w:rPr>
      <w:rFonts w:ascii="Calibri" w:hAnsi="Calibri" w:eastAsia="Calibri" w:cs="Arial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971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4">
    <w:name w:val="Plain Table 4"/>
    <w:basedOn w:val="TableNormal"/>
    <w:uiPriority w:val="44"/>
    <w:rsid w:val="00c971cd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ldfm.hr/gdpr/" TargetMode="External"/><Relationship Id="rId3" Type="http://schemas.openxmlformats.org/officeDocument/2006/relationships/hyperlink" Target="https://goldfm.hr/gdpr/" TargetMode="External"/><Relationship Id="rId4" Type="http://schemas.openxmlformats.org/officeDocument/2006/relationships/hyperlink" Target="mailto:sluzbenik@mediatower.hr" TargetMode="External"/><Relationship Id="rId5" Type="http://schemas.openxmlformats.org/officeDocument/2006/relationships/hyperlink" Target="http://www.goldfm.hr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8D87-3A74-4AF6-97B9-9FA3701E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LibreOffice/5.4.3.2$Windows_X86_64 LibreOffice_project/92a7159f7e4af62137622921e809f8546db437e5</Application>
  <Pages>3</Pages>
  <Words>877</Words>
  <Characters>5238</Characters>
  <CharactersWithSpaces>6671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2019-09-03T13:29:00Z</dcterms:created>
  <dc:creator>Davor Gavranić</dc:creator>
  <dc:description/>
  <dc:language>hr-HR</dc:language>
  <cp:lastModifiedBy/>
  <dcterms:modified xsi:type="dcterms:W3CDTF">2020-01-14T13:32:49Z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